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widowControl/>
        <w:ind w:left="9072" w:hanging="0"/>
        <w:rPr>
          <w:rFonts w:ascii="Times New Roman" w:hAnsi="Times New Roman" w:cs="Times New Roman"/>
          <w:b w:val="false"/>
          <w:b w:val="false"/>
        </w:rPr>
      </w:pPr>
      <w:r>
        <w:rPr>
          <w:rFonts w:cs="Times New Roman" w:ascii="Times New Roman" w:hAnsi="Times New Roman"/>
          <w:b w:val="false"/>
        </w:rPr>
      </w:r>
    </w:p>
    <w:p>
      <w:pPr>
        <w:pStyle w:val="ConsPlusTitle"/>
        <w:widowControl/>
        <w:ind w:left="9072" w:hanging="0"/>
        <w:rPr>
          <w:rFonts w:ascii="Times New Roman" w:hAnsi="Times New Roman" w:cs="Times New Roman"/>
          <w:b w:val="false"/>
          <w:b w:val="false"/>
        </w:rPr>
      </w:pPr>
      <w:r>
        <w:rPr>
          <w:rFonts w:cs="Times New Roman" w:ascii="Times New Roman" w:hAnsi="Times New Roman"/>
          <w:b w:val="false"/>
        </w:rPr>
      </w:r>
    </w:p>
    <w:p>
      <w:pPr>
        <w:pStyle w:val="ConsPlusTitle"/>
        <w:widowControl/>
        <w:ind w:left="9072" w:hanging="0"/>
        <w:rPr>
          <w:rFonts w:ascii="Times New Roman" w:hAnsi="Times New Roman" w:cs="Times New Roman"/>
          <w:b w:val="false"/>
          <w:b w:val="false"/>
        </w:rPr>
      </w:pPr>
      <w:r>
        <w:rPr>
          <w:rFonts w:cs="Times New Roman" w:ascii="Times New Roman" w:hAnsi="Times New Roman"/>
          <w:b w:val="false"/>
        </w:rPr>
        <w:t>Приложение</w:t>
      </w:r>
    </w:p>
    <w:p>
      <w:pPr>
        <w:pStyle w:val="ConsPlusTitle"/>
        <w:widowControl/>
        <w:ind w:left="9072" w:hanging="0"/>
        <w:rPr>
          <w:rFonts w:ascii="Times New Roman" w:hAnsi="Times New Roman" w:cs="Times New Roman"/>
          <w:b w:val="false"/>
          <w:b w:val="false"/>
        </w:rPr>
      </w:pPr>
      <w:r>
        <w:rPr>
          <w:rFonts w:cs="Times New Roman" w:ascii="Times New Roman" w:hAnsi="Times New Roman"/>
          <w:b w:val="false"/>
        </w:rPr>
        <w:t>к постановлению администрации Базарно-Карабулакского</w:t>
      </w:r>
    </w:p>
    <w:p>
      <w:pPr>
        <w:pStyle w:val="ConsPlusTitle"/>
        <w:widowControl/>
        <w:ind w:left="9072" w:hanging="0"/>
        <w:rPr>
          <w:rFonts w:ascii="Times New Roman" w:hAnsi="Times New Roman" w:cs="Times New Roman"/>
          <w:b w:val="false"/>
          <w:b w:val="false"/>
        </w:rPr>
      </w:pPr>
      <w:r>
        <w:rPr>
          <w:rFonts w:cs="Times New Roman" w:ascii="Times New Roman" w:hAnsi="Times New Roman"/>
          <w:b w:val="false"/>
        </w:rPr>
        <w:t>муниципального района</w:t>
      </w:r>
    </w:p>
    <w:p>
      <w:pPr>
        <w:pStyle w:val="ConsPlusTitle"/>
        <w:widowControl/>
        <w:ind w:left="9072" w:hanging="0"/>
        <w:rPr>
          <w:rFonts w:ascii="Times New Roman" w:hAnsi="Times New Roman" w:cs="Times New Roman"/>
          <w:b w:val="false"/>
          <w:b w:val="false"/>
        </w:rPr>
      </w:pPr>
      <w:r>
        <w:rPr>
          <w:rFonts w:cs="Times New Roman" w:ascii="Times New Roman" w:hAnsi="Times New Roman"/>
          <w:b w:val="false"/>
        </w:rPr>
        <w:t xml:space="preserve">от </w:t>
      </w:r>
      <w:r>
        <w:rPr>
          <w:rFonts w:eastAsia="Times New Roman" w:cs="Times New Roman" w:ascii="Times New Roman" w:hAnsi="Times New Roman"/>
          <w:b w:val="false"/>
          <w:bCs/>
          <w:color w:val="auto"/>
          <w:kern w:val="0"/>
          <w:sz w:val="20"/>
          <w:szCs w:val="20"/>
          <w:lang w:val="ru-RU" w:eastAsia="ru-RU" w:bidi="ar-SA"/>
        </w:rPr>
        <w:t>23.12.</w:t>
      </w:r>
      <w:r>
        <w:rPr>
          <w:rFonts w:eastAsia="Times New Roman" w:cs="Times New Roman" w:ascii="Times New Roman" w:hAnsi="Times New Roman"/>
          <w:b w:val="false"/>
          <w:bCs/>
          <w:color w:val="auto"/>
          <w:kern w:val="0"/>
          <w:sz w:val="20"/>
          <w:szCs w:val="20"/>
          <w:lang w:val="ru-RU" w:eastAsia="ru-RU" w:bidi="ar-SA"/>
        </w:rPr>
        <w:t xml:space="preserve"> </w:t>
      </w:r>
      <w:r>
        <w:rPr>
          <w:rFonts w:cs="Times New Roman" w:ascii="Times New Roman" w:hAnsi="Times New Roman"/>
          <w:b w:val="false"/>
        </w:rPr>
        <w:t xml:space="preserve">2021г.   № </w:t>
      </w:r>
      <w:r>
        <w:rPr>
          <w:rFonts w:eastAsia="Times New Roman" w:cs="Times New Roman" w:ascii="Times New Roman" w:hAnsi="Times New Roman"/>
          <w:b w:val="false"/>
          <w:bCs/>
          <w:color w:val="auto"/>
          <w:kern w:val="0"/>
          <w:sz w:val="20"/>
          <w:szCs w:val="20"/>
          <w:lang w:val="ru-RU" w:eastAsia="ru-RU" w:bidi="ar-SA"/>
        </w:rPr>
        <w:t>1218</w:t>
      </w:r>
    </w:p>
    <w:p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План</w:t>
      </w:r>
    </w:p>
    <w:p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администрации Базарно-Карабулакского муниципального района Саратовской области</w:t>
      </w:r>
    </w:p>
    <w:p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по реализации антикоррупционной политики на </w:t>
      </w: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0"/>
          <w:szCs w:val="20"/>
          <w:lang w:val="ru-RU" w:eastAsia="ru-RU" w:bidi="ar-SA"/>
        </w:rPr>
        <w:t>2022-2024</w:t>
      </w:r>
      <w:r>
        <w:rPr>
          <w:rFonts w:cs="Times New Roman" w:ascii="Times New Roman" w:hAnsi="Times New Roman"/>
        </w:rPr>
        <w:t xml:space="preserve"> годы </w:t>
      </w:r>
    </w:p>
    <w:p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15153" w:type="dxa"/>
        <w:jc w:val="left"/>
        <w:tblInd w:w="75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/>
      </w:tblPr>
      <w:tblGrid>
        <w:gridCol w:w="733"/>
        <w:gridCol w:w="6637"/>
        <w:gridCol w:w="2694"/>
        <w:gridCol w:w="5088"/>
      </w:tblGrid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Срок выполнения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208" w:right="-75" w:hanging="208"/>
              <w:jc w:val="center"/>
              <w:rPr>
                <w:rFonts w:ascii="Times New Roman" w:hAnsi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Исполнители</w:t>
            </w:r>
          </w:p>
        </w:tc>
      </w:tr>
      <w:tr>
        <w:trPr/>
        <w:tc>
          <w:tcPr>
            <w:tcW w:w="15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1"/>
              <w:rPr>
                <w:rFonts w:ascii="Times New Roman" w:hAnsi="Times New Roman"/>
                <w:b/>
                <w:b/>
                <w:color w:val="000000"/>
                <w:sz w:val="20"/>
                <w:szCs w:val="20"/>
              </w:rPr>
            </w:pPr>
            <w:bookmarkStart w:id="0" w:name="Par52"/>
            <w:bookmarkEnd w:id="0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 Организационные меры по обеспечению реализации антикоррупционной политики в органе местного самоуправления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Внесение в план по противодействию коррупции </w:t>
            </w:r>
            <w:r>
              <w:rPr>
                <w:rFonts w:ascii="Times New Roman" w:hAnsi="Times New Roman"/>
              </w:rPr>
              <w:t>администрации Базарно-Карабулакского муниципального района Саратовской области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далее - план по противодействию коррупции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 изменений в целях приведения его в соответствие с требованиями антикоррупционного законодательства.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мере принятия нормативных правовых актов антикоррупционной направленности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лица, ответственного за реализацию антикоррупционной политики в органе местного самоуправления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мере необходимости, в том числе при кадровых изменениях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оценки и координации антикоррупционной работы в органе местного самоуправления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ведения номенклатурного дела по реализации антикоррупционной политики и своевременного приобщения к нему информационных материалов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Рассмотрение на совещании у руководителя органа местного самоуправления хода и результатов выполнения мероприятий антикоррупционной направленности и анализа работы подразделений кадровой службы по профилактике коррупционных и иных правонарушений (должностных лиц кадровой службы, ответственных за работу по профилактике коррупционных и иных правонарушений) в соответствии с планом работы по профилактике коррупционных и иных правонарушений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ежеквартально, по результатам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квартала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Подготовка отчета и аналитической справки об исполнении плана органа местного самоуправления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 20 июня и до 15 декабря отчетного периода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Базарно-Карабулакского муниципального района</w:t>
            </w:r>
          </w:p>
        </w:tc>
      </w:tr>
      <w:tr>
        <w:trPr>
          <w:trHeight w:val="659" w:hRule="atLeast"/>
        </w:trPr>
        <w:tc>
          <w:tcPr>
            <w:tcW w:w="1515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1"/>
              <w:rPr>
                <w:rFonts w:ascii="Times New Roman" w:hAnsi="Times New Roman"/>
                <w:b/>
                <w:b/>
                <w:color w:val="000000"/>
                <w:sz w:val="20"/>
                <w:szCs w:val="20"/>
              </w:rPr>
            </w:pPr>
            <w:bookmarkStart w:id="1" w:name="Par74"/>
            <w:bookmarkEnd w:id="1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 Повышение эффективности механизмов урегулирования конфликта интересов, обеспечение соблюдения муниципальными служащими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Организационно-техническое и документационное обеспечение деятельности комиссии органа местного самоуправления по соблюдению требований к служебному поведению муниципальных служащих и урегулированию конфликта интересов, а также совершенствование нормативных правовых актов органа местного самоуправления, регламентирующих ее функционирование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участия в работе комиссии по соблюдению требований к служебному поведению муниципальных служащих и урегулированию конфликта интересов представителей институтов гражданского общества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проверок достоверности и полноты сведений, представляемых гражданами, претендующими на замещение должностей муниципальной службы, и муниципальными служащими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мере поступления соответствующей информации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2.4.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Заслушивание и обсуждение информацию  об антикоррупционной работе подразделений  кадровой службы по профилактике коррупционных и иных правонарушений должностных лиц кадровой службы, ответственных за работу по профилактике  коррупционных и иных правонарушений),  рабочей группы по оценке и координации антикоррупционной работы в  органе местного самоуправления, должностных лиц, участвующих в реализации  антикоррупционной политики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ежеквартально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>
          <w:trHeight w:val="661" w:hRule="atLeast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2.5.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обеспечение работы по рассмотрению уведомлений представителя нанимателя о фактах обращения в целях склонения муниципальных служащих к совершению коррупционных правонарушений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Поддержание в актуальном состоянии перечня должностей муниципальной службы в органе местного самоуправления,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2.7.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контроля исполнения должностных обязанностей муниципальными служащими, проходящими муниципальную службу на должностях, замещение которых связано с коррупционным риском, и устранение таких рисков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>
          <w:trHeight w:val="895" w:hRule="atLeast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2.8.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Доведение до сведения муниципальных служащих требований к служебному поведению муниципального служащего, установленных Федеральным законом от 2 марта 2007 года № 25-ФЗ «О муниципальной службе в Российской Федерации»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 и при поступлении на службу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2.9.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комплекса организационных, разъяснительных и иных мер по соблюдению муниципальными служащими ограничений, запретов, требований о предотвращении или урегулировании конфликта интересов, исполнению обязанностей, установленных в целях противодействия коррупции, в том числе ограничений, касающихся получения подарков, недопущению  поведения,  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 реже одного раза в полугодие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2.10.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и проведение мероприятий по формированию в органе местного самоуправления негативного отношения к дарению подарков муниципальным служащим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2.11.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правового просвещения муниципальных служащих по антикоррупционной тематике (семинары, тренинги, лекции, совещания с разъяснением муниципальным служащим требований нормативных правовых актов в сфере противодействия коррупции), в том числе доведение до муниципальных служащих положений законодательства Российской Федерации о противодействии коррупции,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о порядке проверки сведений, представляемых указанными лицами в соответствии с законодательством Российской Федерации о противодействии коррупции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постоянно, в соответствии с планом органа местного самоуправления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>
          <w:trHeight w:val="677" w:hRule="atLeast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2.12.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антикоррупционной профилактической работы среди кандидатов на вакантные должности муниципальной службы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2.13.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работы по выявлению случаев возникновения конфликта интересов, одной из сторон которого являются муниципальные служащие, и принятие предусмотренных законодательством Российской Федерации мер по предотвращению и урегулированию конфликта интересов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2.14.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Предание гласности каждого случая конфликта интересов и применение мер ответственности, предусмотренных законодательством Российской Федерации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 выявлении соответствующих нарушений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-397" w:hanging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2.15.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Организация участия муниципальных служащих, в должностные обязанности которых входит участие в противодействии коррупции, в мероприятиях по профессиональному развитию в 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ежегодно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2.15.1.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участия лиц, впервые поступивших на муниципальную службу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 назначении на соответствующие должности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2.15.2.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Участие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ежегодно</w:t>
            </w:r>
          </w:p>
        </w:tc>
        <w:tc>
          <w:tcPr>
            <w:tcW w:w="5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Обмен лучшими практиками, передовым опытом по организации работы по противодействию коррупции (изучение соответствующей информации иных органов местного самоуправления, государственных органов, в том числе иных регионов, распространение имеющегося положительного опыта)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2.17.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работы по формированию кадрового резерва и повышение эффективности его использования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15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1"/>
              <w:rPr>
                <w:rFonts w:ascii="Times New Roman" w:hAnsi="Times New Roman"/>
                <w:b/>
                <w:b/>
                <w:color w:val="000000"/>
                <w:sz w:val="20"/>
                <w:szCs w:val="20"/>
              </w:rPr>
            </w:pPr>
            <w:bookmarkStart w:id="2" w:name="Par140"/>
            <w:bookmarkEnd w:id="2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 Выявление и систематизация причин и условий проявления коррупции в деятельности органа местного самоуправления, мониторинг коррупционных рисков и их устранение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антикоррупционной экспертизы проектов нормативных правовых актов, принимаемых органом местного самоуправления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постоянно, по мере разработки проектов нормативных правовых актов, принимаемых органом местного самоуправления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Юридический отдел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мониторинга применения нормативных правовых актов, принятых органом местного самоуправления, и проведение в отношении них антикоррупционной экспертизы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постоянно, в соответствии с планом органа местного самоуправления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Юридический отдел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мер по противодействию  коррупции в органе местного самоуправления, в том числе по результатам  анализа обращений граждан и организаций и рассмотрения вопросов правоприменительной  практики по результатам вступивших в законную силу решений судов, арбитражных судов о  признании недействительными ненормативных правовых  актов,  незаконными решений и действий (бездействия)  органов местного самоуправления и подведомственных организаций и их должностных лиц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ежеквартально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Юридический отдел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Размещение в установленном порядке на Интернет-сайте органа местного самоуправления проектов разрабатываемых им нормативных правовых актов для обеспечения возможности проведения в отношении них независимой антикоррупционной экспертизы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постоянно, по мере разработки органом местного самоуправления проектов нормативных правовых актов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Базарно-Карабулакского муниципального района</w:t>
            </w:r>
          </w:p>
        </w:tc>
      </w:tr>
      <w:tr>
        <w:trPr>
          <w:trHeight w:val="901" w:hRule="atLeast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мониторинга с целью выявления коррупционных рисков в деятельности по осуществлению закупок для обеспечения муниципальных нужд и устранение выявленных коррупционных рисков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Базарно-Карабулакского муниципального района</w:t>
            </w:r>
          </w:p>
        </w:tc>
      </w:tr>
      <w:tr>
        <w:trPr>
          <w:trHeight w:val="842" w:hRule="atLeast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612" w:leader="none"/>
              </w:tabs>
              <w:spacing w:lineRule="auto" w:line="240" w:before="5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3.6.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Рассмотрение  вопросов реализации планов по противодействию коррупции органов местного самоуправления, а также внесения актуальных  изменений в указанный план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>
          <w:trHeight w:val="643" w:hRule="atLeast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Заслушивание и обсуждение информации  о реализации отдельных наиболее актуальных  мероприятий по противодействию коррупции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>
          <w:trHeight w:val="795" w:hRule="atLeast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3.8.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Рассмотрение  проектов  муниципальных правых актов по вопросам реализации антикоррупционной политики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и Юридический отдел администрации Базарно-Карабулакского муниципального района</w:t>
            </w:r>
          </w:p>
        </w:tc>
      </w:tr>
      <w:tr>
        <w:trPr/>
        <w:tc>
          <w:tcPr>
            <w:tcW w:w="15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1"/>
              <w:rPr>
                <w:rFonts w:ascii="Times New Roman" w:hAnsi="Times New Roman"/>
                <w:b/>
                <w:b/>
                <w:color w:val="000000"/>
                <w:sz w:val="20"/>
                <w:szCs w:val="20"/>
              </w:rPr>
            </w:pPr>
            <w:bookmarkStart w:id="3" w:name="Par172"/>
            <w:bookmarkEnd w:id="3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 Взаимодействие органов местного самоуправления с институтами гражданского общества и гражданами, обеспечение доступности информации о деятельности органов местного самоуправления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функционирования специализированного раздела о реализации антикоррупционной политики на официальном Интернет-сайте органа местного самоуправления и размещение актуальной информации об антикоррупционной деятельности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возможности оперативного взаимодействия граждан с органом местного самоуправления в сфере противодействия коррупции (функционирование «горячей линии» и/или «телефона доверия», электронной почты для приема сообщений по вопросам противодействия коррупции, использование компьютерных технологий в режиме «онлайн»)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анализа поступающих обращений граждан и организаций на предмет наличия сведений о возможных проявлениях коррупции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постоянно, по мере поступления обращений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4.4.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Подготовка информационной справки по результатам анализа полученных обращений граждан и организаций на предмет наличия сведений о возможных проявлениях коррупции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ежеквартально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4.5.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и принятие мер по профилактике коррупционных правонарушений по результатам анализа обращений граждан и организаций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мере выявления сведений о возможных проявлениях коррупции и/или предпосылок для совершения коррупционных правонарушений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4.6.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взаимодействия со средствами массовой информации по вопросам противодействия коррупции, в том числе содействие размещению информационных материалов по вопросам антикоррупционной деятельности органа местного самоуправления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4.7.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Подготовка информационной справки о размещённых в средствах массовой информации материалах по вопросам противодействия коррупции, в том числе антикоррупционной деятельности органа местного самоуправления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 1 декабря отчётного периода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4.8.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анализа публикаций в средствах массовой информации на предмет наличия сведений о проявлениях коррупции в органе местного самоуправления, подведомственных ему организациях и учреждениях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4.9.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проверки опубликованных в средствах массовой информации сведений о проявлениях коррупции в органе местного самоуправления, подведомственных ему организациях и учреждениях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случае публикации соответствующих сведений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4.10.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 представителей институтов гражданского общества при разработке проектов нормативных правовых актов по вопросам противодействия коррупции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 разработке органом местного самоуправления проектов нормативных правовых актов по вопросам противодействия коррупции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4.11.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 членов общественных советов к осуществлению контроля за выполнением мероприятий, предусмотренных планом органа местного самоуправления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соответствии с планом органа местного самоуправления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4.12.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совместных совещаний с представителями общественных объединений, уставными задачами которых является участие в противодействии коррупции, в том числе с рассмотрением вопросов о формировании среди муниципальных служащих отрицательного отно</w:t>
              <w:softHyphen/>
              <w:t>шения к коррупции, о работе указанных общественных объединений в сфере противодействия коррупции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соответствии с планом органа местного самоуправления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4.13.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Освещение в средствах массовой информации акций и основных итогов деятельности институтов гражданского общества в сфере противодействия коррупции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соответствии с планом органа местного самоуправления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Сектор делопроизводства и кадровой работы администрации Базарно-Карабулакского муниципального района</w:t>
            </w:r>
          </w:p>
        </w:tc>
      </w:tr>
      <w:tr>
        <w:trPr/>
        <w:tc>
          <w:tcPr>
            <w:tcW w:w="15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1"/>
              <w:rPr>
                <w:rFonts w:ascii="Times New Roman" w:hAnsi="Times New Roman"/>
                <w:b/>
                <w:b/>
                <w:color w:val="000000"/>
                <w:sz w:val="20"/>
                <w:szCs w:val="20"/>
              </w:rPr>
            </w:pPr>
            <w:bookmarkStart w:id="4" w:name="Par205"/>
            <w:bookmarkEnd w:id="4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 Мероприятия органа местного самоуправления, направленные на противодействие коррупции с учетом специфики деятельности его подразделений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Оптимизация предоставления органом местного самоуправления муниципальных услуг, в том числе внедрение административных регламентов предоставления муниципальных услуг, и обеспечение соблюдения требований действующих административных регламентов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мониторинга сфер деятельности подразделений органа местного самоуправления с целью получения информации о коррупционных правонарушениях, с которыми граждане сталкиваются наиболее часто (бытовая коррупция), разработка и принятие мер по устранению условий для совершения таких правонарушений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постоянно, в соответствии с планом органа местного самоуправления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оценки коррупционных рисков, возникающих при реализации должностными лицами органа местного самоуправления своих полномочий, внесение необходимых изменений в перечень должностей муниципальной службы, замещение которых связано с коррупционными рисками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постоянно, в соответствии с планом органа местного самоуправления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Ведение книг жалоб и предложений (журналов обращений) для получения информации от граждан о качестве предоставляемых муниципальных услуг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Оснащение мест для приема заявителей специальными техническими средствами (видеонаблюдение, аудиозапись)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соответствии с планом органа местного самоуправления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реализации мероприятий по противодействию коррупции в подведомственных организациях и учреждениях, в том числе проведение контроля за качеством предоставляемых услуг, принятие мер к выявлению и устранению условий для совершения коррупционных правонарушений, проведение опросов и анкетирования потребителей услуг с целью выявления фактов коррупционных правонарушений и условий для их совершения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контроля за использованием объектов муниципальной собственности подведомственными организациями и учреждениями, в том числе за соответствием требованиям законодательства заключаемых договоров в отношении объектов муниципальной собственности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Базарно-Карабулакского муниципального района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методических рекомендаций по предупреждению коррупционных правонару</w:t>
              <w:softHyphen/>
              <w:t>шений на муниципальной службе; по выявлению и предотвращению конфликта интересов у муниципальных служащих; по представлению сведений о расходах должностными лицами и осуществлению контроля за расходами; памяток муниципальным служащим по урегулированию конфликта интересов с учетом специфики деятельности подразделений органа местного самоуправления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Базарно-Карабулакского муниципального района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</w:p>
    <w:p>
      <w:pPr>
        <w:pStyle w:val="Normal"/>
        <w:spacing w:before="0" w:after="0"/>
        <w:jc w:val="both"/>
        <w:rPr>
          <w:b/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Заведующий сектором делопроизводства и кадровой работы                                                                                                                     С.Е. Павлова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/>
      </w:r>
    </w:p>
    <w:sectPr>
      <w:headerReference w:type="default" r:id="rId2"/>
      <w:type w:val="nextPage"/>
      <w:pgSz w:orient="landscape" w:w="16838" w:h="11906"/>
      <w:pgMar w:left="1134" w:right="1134" w:header="170" w:top="335" w:footer="0" w:bottom="567" w:gutter="0"/>
      <w:pgNumType w:start="2" w:fmt="decimal"/>
      <w:formProt w:val="false"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spacing w:before="0" w:after="200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f3e0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link w:val="a3"/>
    <w:uiPriority w:val="99"/>
    <w:qFormat/>
    <w:rsid w:val="000f2f40"/>
    <w:rPr>
      <w:sz w:val="22"/>
      <w:szCs w:val="22"/>
      <w:lang w:eastAsia="en-US"/>
    </w:rPr>
  </w:style>
  <w:style w:type="character" w:styleId="Style15" w:customStyle="1">
    <w:name w:val="Нижний колонтитул Знак"/>
    <w:link w:val="a5"/>
    <w:uiPriority w:val="99"/>
    <w:semiHidden/>
    <w:qFormat/>
    <w:rsid w:val="000f2f40"/>
    <w:rPr>
      <w:sz w:val="22"/>
      <w:szCs w:val="22"/>
      <w:lang w:eastAsia="en-US"/>
    </w:rPr>
  </w:style>
  <w:style w:type="character" w:styleId="Annotationreference">
    <w:name w:val="annotation reference"/>
    <w:uiPriority w:val="99"/>
    <w:semiHidden/>
    <w:unhideWhenUsed/>
    <w:qFormat/>
    <w:rsid w:val="000d66f9"/>
    <w:rPr>
      <w:sz w:val="16"/>
      <w:szCs w:val="16"/>
    </w:rPr>
  </w:style>
  <w:style w:type="character" w:styleId="Style16" w:customStyle="1">
    <w:name w:val="Текст примечания Знак"/>
    <w:link w:val="a8"/>
    <w:uiPriority w:val="99"/>
    <w:semiHidden/>
    <w:qFormat/>
    <w:rsid w:val="000d66f9"/>
    <w:rPr>
      <w:lang w:eastAsia="en-US"/>
    </w:rPr>
  </w:style>
  <w:style w:type="character" w:styleId="Style17" w:customStyle="1">
    <w:name w:val="Тема примечания Знак"/>
    <w:link w:val="aa"/>
    <w:uiPriority w:val="99"/>
    <w:semiHidden/>
    <w:qFormat/>
    <w:rsid w:val="000d66f9"/>
    <w:rPr>
      <w:b/>
      <w:bCs/>
      <w:lang w:eastAsia="en-US"/>
    </w:rPr>
  </w:style>
  <w:style w:type="character" w:styleId="Style18" w:customStyle="1">
    <w:name w:val="Текст выноски Знак"/>
    <w:link w:val="ac"/>
    <w:uiPriority w:val="99"/>
    <w:semiHidden/>
    <w:qFormat/>
    <w:rsid w:val="000d66f9"/>
    <w:rPr>
      <w:rFonts w:ascii="Tahoma" w:hAnsi="Tahoma" w:cs="Tahoma"/>
      <w:sz w:val="16"/>
      <w:szCs w:val="16"/>
      <w:lang w:eastAsia="en-US"/>
    </w:rPr>
  </w:style>
  <w:style w:type="character" w:styleId="Style19" w:customStyle="1">
    <w:name w:val="Основной текст Знак"/>
    <w:link w:val="ae"/>
    <w:qFormat/>
    <w:rsid w:val="00566926"/>
    <w:rPr>
      <w:rFonts w:ascii="Times New Roman" w:hAnsi="Times New Roman" w:eastAsia="Times New Roman"/>
      <w:sz w:val="24"/>
      <w:szCs w:val="24"/>
    </w:rPr>
  </w:style>
  <w:style w:type="character" w:styleId="Style20" w:customStyle="1">
    <w:name w:val="Название Знак"/>
    <w:link w:val="af2"/>
    <w:qFormat/>
    <w:rsid w:val="00e7721a"/>
    <w:rPr>
      <w:rFonts w:ascii="Times New Roman" w:hAnsi="Times New Roman" w:eastAsia="Times New Roman"/>
      <w:b/>
      <w:sz w:val="24"/>
      <w:szCs w:val="24"/>
    </w:rPr>
  </w:style>
  <w:style w:type="paragraph" w:styleId="Style21" w:customStyle="1">
    <w:name w:val="Заголовок"/>
    <w:basedOn w:val="Normal"/>
    <w:next w:val="Style22"/>
    <w:qFormat/>
    <w:rsid w:val="00853d55"/>
    <w:pPr>
      <w:spacing w:lineRule="auto" w:line="240" w:before="0" w:after="0"/>
      <w:ind w:right="3232" w:hanging="0"/>
      <w:jc w:val="both"/>
    </w:pPr>
    <w:rPr>
      <w:rFonts w:ascii="Times New Roman" w:hAnsi="Times New Roman" w:eastAsia="Times New Roman"/>
      <w:b/>
      <w:bCs/>
      <w:sz w:val="28"/>
      <w:szCs w:val="28"/>
      <w:lang w:eastAsia="ru-RU"/>
    </w:rPr>
  </w:style>
  <w:style w:type="paragraph" w:styleId="Style22">
    <w:name w:val="Body Text"/>
    <w:basedOn w:val="Normal"/>
    <w:link w:val="af"/>
    <w:rsid w:val="00566926"/>
    <w:pPr>
      <w:spacing w:lineRule="auto" w:line="240" w:before="0" w:after="120"/>
    </w:pPr>
    <w:rPr>
      <w:rFonts w:ascii="Times New Roman" w:hAnsi="Times New Roman" w:eastAsia="Times New Roman"/>
      <w:sz w:val="24"/>
      <w:szCs w:val="24"/>
    </w:rPr>
  </w:style>
  <w:style w:type="paragraph" w:styleId="Style23">
    <w:name w:val="List"/>
    <w:basedOn w:val="Style22"/>
    <w:pPr/>
    <w:rPr>
      <w:rFonts w:cs="Arial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Arial"/>
    </w:rPr>
  </w:style>
  <w:style w:type="paragraph" w:styleId="Style26">
    <w:name w:val="Верхний и нижний колонтитулы"/>
    <w:basedOn w:val="Normal"/>
    <w:qFormat/>
    <w:pPr/>
    <w:rPr/>
  </w:style>
  <w:style w:type="paragraph" w:styleId="Style27">
    <w:name w:val="Header"/>
    <w:basedOn w:val="Normal"/>
    <w:link w:val="a4"/>
    <w:uiPriority w:val="99"/>
    <w:unhideWhenUsed/>
    <w:rsid w:val="000f2f4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8">
    <w:name w:val="Footer"/>
    <w:basedOn w:val="Normal"/>
    <w:link w:val="a6"/>
    <w:uiPriority w:val="99"/>
    <w:semiHidden/>
    <w:unhideWhenUsed/>
    <w:rsid w:val="000f2f4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Annotationtext">
    <w:name w:val="annotation text"/>
    <w:basedOn w:val="Normal"/>
    <w:link w:val="a9"/>
    <w:uiPriority w:val="99"/>
    <w:semiHidden/>
    <w:unhideWhenUsed/>
    <w:qFormat/>
    <w:rsid w:val="000d66f9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b"/>
    <w:uiPriority w:val="99"/>
    <w:semiHidden/>
    <w:unhideWhenUsed/>
    <w:qFormat/>
    <w:rsid w:val="000d66f9"/>
    <w:pPr/>
    <w:rPr>
      <w:b/>
      <w:bCs/>
    </w:rPr>
  </w:style>
  <w:style w:type="paragraph" w:styleId="BalloonText">
    <w:name w:val="Balloon Text"/>
    <w:basedOn w:val="Normal"/>
    <w:link w:val="ad"/>
    <w:uiPriority w:val="99"/>
    <w:semiHidden/>
    <w:unhideWhenUsed/>
    <w:qFormat/>
    <w:rsid w:val="000d66f9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Style29" w:customStyle="1">
    <w:name w:val="ФИРМЕННЫЙ"/>
    <w:basedOn w:val="Normal"/>
    <w:qFormat/>
    <w:rsid w:val="00566926"/>
    <w:pPr>
      <w:spacing w:lineRule="auto" w:line="240" w:before="0" w:after="0"/>
      <w:ind w:firstLine="720"/>
      <w:jc w:val="both"/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ConsPlusTitle" w:customStyle="1">
    <w:name w:val="ConsPlusTitle"/>
    <w:qFormat/>
    <w:rsid w:val="00e7721a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30">
    <w:name w:val="Title"/>
    <w:basedOn w:val="Normal"/>
    <w:link w:val="af3"/>
    <w:qFormat/>
    <w:rsid w:val="00e7721a"/>
    <w:pPr>
      <w:spacing w:lineRule="auto" w:line="240" w:before="0" w:after="0"/>
      <w:jc w:val="center"/>
    </w:pPr>
    <w:rPr>
      <w:rFonts w:ascii="Times New Roman" w:hAnsi="Times New Roman" w:eastAsia="Times New Roman"/>
      <w:b/>
      <w:sz w:val="24"/>
      <w:szCs w:val="24"/>
    </w:rPr>
  </w:style>
  <w:style w:type="paragraph" w:styleId="NoSpacing">
    <w:name w:val="No Spacing"/>
    <w:uiPriority w:val="1"/>
    <w:qFormat/>
    <w:rsid w:val="00ae5c5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23BBC-93CB-4D89-AC45-DE29F4420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Application>LibreOffice/7.1.0.3$Windows_X86_64 LibreOffice_project/f6099ecf3d29644b5008cc8f48f42f4a40986e4c</Application>
  <AppVersion>15.0000</AppVersion>
  <Pages>6</Pages>
  <Words>2141</Words>
  <Characters>17963</Characters>
  <CharactersWithSpaces>20123</CharactersWithSpaces>
  <Paragraphs>230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2015-12-08T11:37:00Z</dcterms:created>
  <dc:creator>Махонин Алексей Николаевич</dc:creator>
  <dc:description/>
  <dc:language>ru-RU</dc:language>
  <cp:lastModifiedBy/>
  <cp:lastPrinted>2015-12-09T12:26:00Z</cp:lastPrinted>
  <dcterms:modified xsi:type="dcterms:W3CDTF">2022-01-12T09:05:29Z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